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F7474" w14:textId="0EDEC26F" w:rsidR="006F3841" w:rsidRPr="006F3841" w:rsidRDefault="006F3841" w:rsidP="006F3841">
      <w:pPr>
        <w:pStyle w:val="Title"/>
        <w:pBdr>
          <w:bottom w:val="single" w:sz="8" w:space="6" w:color="B0C0C9"/>
        </w:pBdr>
        <w:rPr>
          <w:b/>
          <w:bCs/>
          <w:color w:val="1F497D"/>
          <w:sz w:val="32"/>
          <w:szCs w:val="32"/>
          <w:lang w:val="en-AU"/>
        </w:rPr>
      </w:pPr>
      <w:r w:rsidRPr="006F3841">
        <w:rPr>
          <w:noProof/>
          <w:sz w:val="32"/>
          <w:szCs w:val="32"/>
        </w:rPr>
        <w:drawing>
          <wp:anchor distT="0" distB="0" distL="114300" distR="114300" simplePos="0" relativeHeight="251659264" behindDoc="0" locked="0" layoutInCell="1" allowOverlap="1" wp14:anchorId="12D5E72E" wp14:editId="5FBC144C">
            <wp:simplePos x="0" y="0"/>
            <wp:positionH relativeFrom="column">
              <wp:posOffset>4098290</wp:posOffset>
            </wp:positionH>
            <wp:positionV relativeFrom="paragraph">
              <wp:posOffset>-214630</wp:posOffset>
            </wp:positionV>
            <wp:extent cx="2077429" cy="255270"/>
            <wp:effectExtent l="0" t="0" r="5715" b="0"/>
            <wp:wrapNone/>
            <wp:docPr id="1" name="Picture 1" descr="Description: Macintosh HD:Users:mercyfoundation:Desktop:Mercy Logos:MF_logo_small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mercyfoundation:Desktop:Mercy Logos:MF_logo_smaller.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429" cy="255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841">
        <w:rPr>
          <w:b/>
          <w:bCs/>
          <w:color w:val="1F497D"/>
          <w:sz w:val="32"/>
          <w:szCs w:val="32"/>
        </w:rPr>
        <w:t>Social Justice Small Grants Criteria 202</w:t>
      </w:r>
      <w:r w:rsidRPr="006F3841">
        <w:rPr>
          <w:b/>
          <w:bCs/>
          <w:color w:val="1F497D"/>
          <w:sz w:val="32"/>
          <w:szCs w:val="32"/>
          <w:lang w:val="en-AU"/>
        </w:rPr>
        <w:t>3</w:t>
      </w:r>
    </w:p>
    <w:p w14:paraId="40834EE5" w14:textId="77777777" w:rsidR="006F3841" w:rsidRDefault="006F3841" w:rsidP="006F3841">
      <w:pPr>
        <w:snapToGrid w:val="0"/>
        <w:spacing w:after="180" w:line="240" w:lineRule="auto"/>
        <w:rPr>
          <w:rFonts w:cs="Arial"/>
          <w:sz w:val="22"/>
          <w:szCs w:val="22"/>
        </w:rPr>
      </w:pPr>
      <w:r w:rsidRPr="00E95A79">
        <w:rPr>
          <w:rFonts w:cs="Arial"/>
          <w:sz w:val="22"/>
          <w:szCs w:val="22"/>
        </w:rPr>
        <w:t xml:space="preserve">The Mercy Foundation’s Social Justice Small Grants Program provides seed funding to assist communities and organisations to build capacity that will help create structural change and bring about greater social justice in Australia. </w:t>
      </w:r>
    </w:p>
    <w:p w14:paraId="4765E8E0" w14:textId="31B1BA6E" w:rsidR="006F3841" w:rsidRPr="00E95A79" w:rsidRDefault="006F3841" w:rsidP="006F3841">
      <w:pPr>
        <w:numPr>
          <w:ilvl w:val="0"/>
          <w:numId w:val="4"/>
        </w:numPr>
        <w:snapToGrid w:val="0"/>
        <w:spacing w:after="180" w:line="240" w:lineRule="auto"/>
        <w:rPr>
          <w:rFonts w:cs="Arial"/>
          <w:b/>
          <w:sz w:val="22"/>
          <w:szCs w:val="22"/>
        </w:rPr>
      </w:pPr>
      <w:r w:rsidRPr="00E95A79">
        <w:rPr>
          <w:rFonts w:cs="Arial"/>
          <w:b/>
          <w:sz w:val="22"/>
          <w:szCs w:val="22"/>
        </w:rPr>
        <w:t xml:space="preserve">Area of focus: </w:t>
      </w:r>
      <w:r>
        <w:rPr>
          <w:rFonts w:cs="Arial"/>
          <w:b/>
          <w:sz w:val="22"/>
          <w:szCs w:val="22"/>
        </w:rPr>
        <w:t>Respect - Confronting Violence and Abuse</w:t>
      </w:r>
    </w:p>
    <w:p w14:paraId="648DB8EA" w14:textId="77777777" w:rsidR="006F3841" w:rsidRPr="006F3841" w:rsidRDefault="006F3841" w:rsidP="006F3841">
      <w:pPr>
        <w:pStyle w:val="EndnoteText"/>
        <w:pBdr>
          <w:top w:val="single" w:sz="8" w:space="1" w:color="auto"/>
          <w:left w:val="single" w:sz="8" w:space="4" w:color="auto"/>
          <w:bottom w:val="single" w:sz="8" w:space="1" w:color="auto"/>
          <w:right w:val="single" w:sz="8" w:space="4" w:color="auto"/>
        </w:pBdr>
        <w:shd w:val="clear" w:color="auto" w:fill="E7FFFF"/>
        <w:snapToGrid w:val="0"/>
        <w:spacing w:after="180" w:line="240" w:lineRule="auto"/>
        <w:rPr>
          <w:b/>
          <w:bCs/>
          <w:sz w:val="10"/>
          <w:szCs w:val="10"/>
        </w:rPr>
      </w:pPr>
    </w:p>
    <w:p w14:paraId="0DFE8DB6" w14:textId="621E3B9D" w:rsidR="006F3841" w:rsidRPr="00C315D7" w:rsidRDefault="00235948" w:rsidP="006F3841">
      <w:pPr>
        <w:pStyle w:val="EndnoteText"/>
        <w:pBdr>
          <w:top w:val="single" w:sz="8" w:space="1" w:color="auto"/>
          <w:left w:val="single" w:sz="8" w:space="4" w:color="auto"/>
          <w:bottom w:val="single" w:sz="8" w:space="1" w:color="auto"/>
          <w:right w:val="single" w:sz="8" w:space="4" w:color="auto"/>
        </w:pBdr>
        <w:shd w:val="clear" w:color="auto" w:fill="E7FFFF"/>
        <w:snapToGrid w:val="0"/>
        <w:spacing w:after="180" w:line="240" w:lineRule="auto"/>
        <w:rPr>
          <w:sz w:val="22"/>
          <w:szCs w:val="22"/>
        </w:rPr>
      </w:pPr>
      <w:r w:rsidRPr="00C315D7">
        <w:rPr>
          <w:sz w:val="22"/>
          <w:szCs w:val="22"/>
        </w:rPr>
        <w:t>Priority will be given to p</w:t>
      </w:r>
      <w:r w:rsidR="006F3841" w:rsidRPr="00C315D7">
        <w:rPr>
          <w:sz w:val="22"/>
          <w:szCs w:val="22"/>
        </w:rPr>
        <w:t xml:space="preserve">rojects that </w:t>
      </w:r>
      <w:r w:rsidR="00520EB5" w:rsidRPr="00C315D7">
        <w:rPr>
          <w:sz w:val="22"/>
          <w:szCs w:val="22"/>
        </w:rPr>
        <w:t xml:space="preserve">address </w:t>
      </w:r>
      <w:r w:rsidR="006F3841" w:rsidRPr="00C315D7">
        <w:rPr>
          <w:sz w:val="22"/>
          <w:szCs w:val="22"/>
        </w:rPr>
        <w:t>the growing epidemic of family and domestic violence, particularly where it concerns women and girls, and/or groups in the community that experience inequality, discrimination or marginalisation</w:t>
      </w:r>
      <w:r w:rsidRPr="00C315D7">
        <w:rPr>
          <w:sz w:val="22"/>
          <w:szCs w:val="22"/>
        </w:rPr>
        <w:t>.</w:t>
      </w:r>
    </w:p>
    <w:p w14:paraId="2DBEE4B7" w14:textId="77777777" w:rsidR="006F3841" w:rsidRPr="006F3841" w:rsidRDefault="006F3841" w:rsidP="006F3841">
      <w:pPr>
        <w:pStyle w:val="EndnoteText"/>
        <w:pBdr>
          <w:top w:val="single" w:sz="8" w:space="1" w:color="auto"/>
          <w:left w:val="single" w:sz="8" w:space="4" w:color="auto"/>
          <w:bottom w:val="single" w:sz="8" w:space="1" w:color="auto"/>
          <w:right w:val="single" w:sz="8" w:space="4" w:color="auto"/>
        </w:pBdr>
        <w:shd w:val="clear" w:color="auto" w:fill="E7FFFF"/>
        <w:snapToGrid w:val="0"/>
        <w:spacing w:after="180" w:line="240" w:lineRule="auto"/>
        <w:rPr>
          <w:sz w:val="10"/>
          <w:szCs w:val="10"/>
        </w:rPr>
      </w:pPr>
    </w:p>
    <w:p w14:paraId="05DF7F88" w14:textId="5014F7BB" w:rsidR="006F3841" w:rsidRDefault="006F3841" w:rsidP="006F3841">
      <w:pPr>
        <w:pStyle w:val="EndnoteText"/>
        <w:snapToGrid w:val="0"/>
        <w:spacing w:after="180" w:line="240" w:lineRule="auto"/>
        <w:rPr>
          <w:sz w:val="22"/>
          <w:szCs w:val="22"/>
        </w:rPr>
      </w:pPr>
      <w:r>
        <w:rPr>
          <w:sz w:val="22"/>
          <w:szCs w:val="22"/>
        </w:rPr>
        <w:t xml:space="preserve">The area of focus for the 2023 Social Justice Small Grants program is </w:t>
      </w:r>
      <w:r w:rsidRPr="00A70504">
        <w:rPr>
          <w:i/>
          <w:iCs/>
          <w:sz w:val="22"/>
          <w:szCs w:val="22"/>
        </w:rPr>
        <w:t>Respect: confronting violence</w:t>
      </w:r>
      <w:r w:rsidRPr="0055467E">
        <w:rPr>
          <w:i/>
          <w:iCs/>
          <w:sz w:val="22"/>
          <w:szCs w:val="22"/>
        </w:rPr>
        <w:t xml:space="preserve"> and abuse.</w:t>
      </w:r>
      <w:r>
        <w:rPr>
          <w:i/>
          <w:iCs/>
          <w:sz w:val="22"/>
          <w:szCs w:val="22"/>
        </w:rPr>
        <w:t xml:space="preserve"> </w:t>
      </w:r>
      <w:r w:rsidRPr="0055467E">
        <w:rPr>
          <w:sz w:val="22"/>
          <w:szCs w:val="22"/>
        </w:rPr>
        <w:t xml:space="preserve">The theme is based on the </w:t>
      </w:r>
      <w:hyperlink r:id="rId9" w:history="1">
        <w:r w:rsidRPr="0055467E">
          <w:rPr>
            <w:rStyle w:val="Hyperlink"/>
            <w:sz w:val="22"/>
            <w:szCs w:val="22"/>
          </w:rPr>
          <w:t>Social Justice Statement</w:t>
        </w:r>
      </w:hyperlink>
      <w:r w:rsidRPr="0055467E">
        <w:rPr>
          <w:sz w:val="22"/>
          <w:szCs w:val="22"/>
        </w:rPr>
        <w:t xml:space="preserve"> released by the Australian Catholic Bishops Conference in 2022</w:t>
      </w:r>
      <w:r>
        <w:rPr>
          <w:rStyle w:val="EndnoteReference"/>
          <w:sz w:val="22"/>
          <w:szCs w:val="22"/>
        </w:rPr>
        <w:endnoteReference w:id="1"/>
      </w:r>
      <w:r w:rsidRPr="0055467E">
        <w:rPr>
          <w:sz w:val="22"/>
          <w:szCs w:val="22"/>
        </w:rPr>
        <w:t>.</w:t>
      </w:r>
      <w:r>
        <w:rPr>
          <w:sz w:val="22"/>
          <w:szCs w:val="22"/>
        </w:rPr>
        <w:t xml:space="preserve"> </w:t>
      </w:r>
    </w:p>
    <w:p w14:paraId="06EDA464" w14:textId="5B2A92F7" w:rsidR="006F3841" w:rsidRDefault="006F3841" w:rsidP="006F3841">
      <w:pPr>
        <w:pStyle w:val="EndnoteText"/>
        <w:snapToGrid w:val="0"/>
        <w:spacing w:after="180" w:line="240" w:lineRule="auto"/>
        <w:rPr>
          <w:sz w:val="22"/>
          <w:szCs w:val="22"/>
        </w:rPr>
      </w:pPr>
      <w:r>
        <w:rPr>
          <w:sz w:val="22"/>
          <w:szCs w:val="22"/>
        </w:rPr>
        <w:t>T</w:t>
      </w:r>
      <w:r w:rsidRPr="003707EB">
        <w:rPr>
          <w:sz w:val="22"/>
          <w:szCs w:val="22"/>
        </w:rPr>
        <w:t>he Australian Institute of Health and</w:t>
      </w:r>
      <w:r>
        <w:rPr>
          <w:sz w:val="22"/>
          <w:szCs w:val="22"/>
        </w:rPr>
        <w:t xml:space="preserve"> </w:t>
      </w:r>
      <w:r w:rsidRPr="003707EB">
        <w:rPr>
          <w:sz w:val="22"/>
          <w:szCs w:val="22"/>
        </w:rPr>
        <w:t>Welfare</w:t>
      </w:r>
      <w:r>
        <w:rPr>
          <w:sz w:val="22"/>
          <w:szCs w:val="22"/>
        </w:rPr>
        <w:t xml:space="preserve"> (AIHW)</w:t>
      </w:r>
      <w:r w:rsidRPr="003707EB">
        <w:rPr>
          <w:sz w:val="22"/>
          <w:szCs w:val="22"/>
        </w:rPr>
        <w:t xml:space="preserve"> reports </w:t>
      </w:r>
      <w:r w:rsidRPr="002815D0">
        <w:rPr>
          <w:sz w:val="22"/>
          <w:szCs w:val="22"/>
        </w:rPr>
        <w:t>that family, domestic and sexual violence is a major national health and welfare issue that can have lifelong impacts for victims and perpetrators. It affects</w:t>
      </w:r>
      <w:r>
        <w:rPr>
          <w:sz w:val="22"/>
          <w:szCs w:val="22"/>
        </w:rPr>
        <w:t xml:space="preserve"> </w:t>
      </w:r>
      <w:r w:rsidRPr="002815D0">
        <w:rPr>
          <w:sz w:val="22"/>
          <w:szCs w:val="22"/>
        </w:rPr>
        <w:t>people of all ages and from all backgrounds, but predominantly affects women and children.</w:t>
      </w:r>
      <w:r w:rsidRPr="002815D0">
        <w:rPr>
          <w:rStyle w:val="EndnoteReference"/>
          <w:sz w:val="22"/>
          <w:szCs w:val="22"/>
        </w:rPr>
        <w:endnoteReference w:id="2"/>
      </w:r>
    </w:p>
    <w:p w14:paraId="4CFDFD1B" w14:textId="415CC226" w:rsidR="006F3841" w:rsidRDefault="006F3841" w:rsidP="006F3841">
      <w:pPr>
        <w:pStyle w:val="EndnoteText"/>
        <w:snapToGrid w:val="0"/>
        <w:spacing w:after="120" w:line="240" w:lineRule="auto"/>
        <w:rPr>
          <w:sz w:val="22"/>
          <w:szCs w:val="22"/>
        </w:rPr>
      </w:pPr>
      <w:r>
        <w:rPr>
          <w:sz w:val="22"/>
          <w:szCs w:val="22"/>
        </w:rPr>
        <w:t xml:space="preserve">According to the National Action Plan to End Violence Against Women and Girls 2022 – 2032, </w:t>
      </w:r>
      <w:r w:rsidRPr="002815D0">
        <w:rPr>
          <w:sz w:val="22"/>
          <w:szCs w:val="22"/>
          <w:lang w:val="en-AU"/>
        </w:rPr>
        <w:t>violence against women and children is a problem of epidemic proportions in Australia. </w:t>
      </w:r>
      <w:r>
        <w:rPr>
          <w:rStyle w:val="EndnoteReference"/>
          <w:sz w:val="22"/>
          <w:szCs w:val="22"/>
          <w:lang w:val="en-AU"/>
        </w:rPr>
        <w:endnoteReference w:id="3"/>
      </w:r>
    </w:p>
    <w:p w14:paraId="46E3CBE0" w14:textId="77777777" w:rsidR="006F3841" w:rsidRDefault="006F3841" w:rsidP="006F3841">
      <w:pPr>
        <w:pStyle w:val="EndnoteText"/>
        <w:numPr>
          <w:ilvl w:val="0"/>
          <w:numId w:val="7"/>
        </w:numPr>
        <w:snapToGrid w:val="0"/>
        <w:spacing w:after="120" w:line="240" w:lineRule="auto"/>
        <w:rPr>
          <w:sz w:val="22"/>
          <w:szCs w:val="22"/>
          <w:lang w:val="en-AU"/>
        </w:rPr>
      </w:pPr>
      <w:r w:rsidRPr="00862318">
        <w:rPr>
          <w:sz w:val="22"/>
          <w:szCs w:val="22"/>
          <w:lang w:val="en-AU"/>
        </w:rPr>
        <w:t>One in 3 women has experienced physical violence since the age of 15</w:t>
      </w:r>
    </w:p>
    <w:p w14:paraId="2C112CC3" w14:textId="77777777" w:rsidR="006F3841" w:rsidRDefault="006F3841" w:rsidP="006F3841">
      <w:pPr>
        <w:pStyle w:val="EndnoteText"/>
        <w:numPr>
          <w:ilvl w:val="0"/>
          <w:numId w:val="7"/>
        </w:numPr>
        <w:snapToGrid w:val="0"/>
        <w:spacing w:after="120" w:line="240" w:lineRule="auto"/>
        <w:rPr>
          <w:sz w:val="22"/>
          <w:szCs w:val="22"/>
          <w:lang w:val="en-AU"/>
        </w:rPr>
      </w:pPr>
      <w:r w:rsidRPr="00862318">
        <w:rPr>
          <w:sz w:val="22"/>
          <w:szCs w:val="22"/>
          <w:lang w:val="en-AU"/>
        </w:rPr>
        <w:t>one in 5 has experienced sexual violence</w:t>
      </w:r>
    </w:p>
    <w:p w14:paraId="29EF0D42" w14:textId="77777777" w:rsidR="006F3841" w:rsidRDefault="006F3841" w:rsidP="006F3841">
      <w:pPr>
        <w:pStyle w:val="EndnoteText"/>
        <w:numPr>
          <w:ilvl w:val="0"/>
          <w:numId w:val="7"/>
        </w:numPr>
        <w:snapToGrid w:val="0"/>
        <w:spacing w:after="120" w:line="240" w:lineRule="auto"/>
        <w:rPr>
          <w:sz w:val="22"/>
          <w:szCs w:val="22"/>
          <w:lang w:val="en-AU"/>
        </w:rPr>
      </w:pPr>
      <w:r w:rsidRPr="00862318">
        <w:rPr>
          <w:sz w:val="22"/>
          <w:szCs w:val="22"/>
          <w:lang w:val="en-AU"/>
        </w:rPr>
        <w:t>On average, a woman is killed by an intimate partner every 10 days</w:t>
      </w:r>
    </w:p>
    <w:p w14:paraId="52DC5D57" w14:textId="77777777" w:rsidR="006F3841" w:rsidRDefault="006F3841" w:rsidP="006F3841">
      <w:pPr>
        <w:pStyle w:val="EndnoteText"/>
        <w:numPr>
          <w:ilvl w:val="0"/>
          <w:numId w:val="7"/>
        </w:numPr>
        <w:snapToGrid w:val="0"/>
        <w:spacing w:after="120" w:line="240" w:lineRule="auto"/>
        <w:rPr>
          <w:sz w:val="22"/>
          <w:szCs w:val="22"/>
          <w:lang w:val="en-AU"/>
        </w:rPr>
      </w:pPr>
      <w:r w:rsidRPr="00862318">
        <w:rPr>
          <w:sz w:val="22"/>
          <w:szCs w:val="22"/>
          <w:lang w:val="en-AU"/>
        </w:rPr>
        <w:t xml:space="preserve">Rates of violence are even higher for certain groups, such as Aboriginal and Torres Strait Islander women </w:t>
      </w:r>
    </w:p>
    <w:p w14:paraId="6E108125" w14:textId="77777777" w:rsidR="006F3841" w:rsidRDefault="006F3841" w:rsidP="006F3841">
      <w:pPr>
        <w:pStyle w:val="EndnoteText"/>
        <w:snapToGrid w:val="0"/>
        <w:spacing w:after="180" w:line="240" w:lineRule="auto"/>
        <w:rPr>
          <w:sz w:val="22"/>
          <w:szCs w:val="22"/>
        </w:rPr>
      </w:pPr>
      <w:r>
        <w:rPr>
          <w:sz w:val="22"/>
          <w:szCs w:val="22"/>
        </w:rPr>
        <w:t>The Social Justice Statement 2022-2023 notes that some groups are more vulnerable than others to domestic and family violence:</w:t>
      </w:r>
    </w:p>
    <w:p w14:paraId="0A3750D2" w14:textId="77777777" w:rsidR="006F3841" w:rsidRDefault="006F3841" w:rsidP="006F3841">
      <w:pPr>
        <w:pStyle w:val="EndnoteText"/>
        <w:numPr>
          <w:ilvl w:val="0"/>
          <w:numId w:val="5"/>
        </w:numPr>
        <w:snapToGrid w:val="0"/>
        <w:spacing w:after="180" w:line="240" w:lineRule="auto"/>
        <w:rPr>
          <w:sz w:val="22"/>
          <w:szCs w:val="22"/>
        </w:rPr>
      </w:pPr>
      <w:r>
        <w:rPr>
          <w:sz w:val="22"/>
          <w:szCs w:val="22"/>
        </w:rPr>
        <w:t>W</w:t>
      </w:r>
      <w:r w:rsidRPr="00862318">
        <w:rPr>
          <w:sz w:val="22"/>
          <w:szCs w:val="22"/>
        </w:rPr>
        <w:t>omen and girls with disabilities experience all forms of violence at higher rates than men with disabilities, or people without disabilities.</w:t>
      </w:r>
    </w:p>
    <w:p w14:paraId="07243CD1" w14:textId="77777777" w:rsidR="006F3841" w:rsidRDefault="006F3841" w:rsidP="006F3841">
      <w:pPr>
        <w:pStyle w:val="EndnoteText"/>
        <w:numPr>
          <w:ilvl w:val="0"/>
          <w:numId w:val="5"/>
        </w:numPr>
        <w:snapToGrid w:val="0"/>
        <w:spacing w:after="180" w:line="240" w:lineRule="auto"/>
        <w:rPr>
          <w:sz w:val="22"/>
          <w:szCs w:val="22"/>
        </w:rPr>
      </w:pPr>
      <w:r>
        <w:rPr>
          <w:sz w:val="22"/>
          <w:szCs w:val="22"/>
        </w:rPr>
        <w:t>Young women aged 18 – 34 years were 2.7 times more likely to experience intimate partner violence than women over 35 years</w:t>
      </w:r>
    </w:p>
    <w:p w14:paraId="143DDE11" w14:textId="77777777" w:rsidR="006F3841" w:rsidRDefault="006F3841" w:rsidP="006F3841">
      <w:pPr>
        <w:pStyle w:val="EndnoteText"/>
        <w:numPr>
          <w:ilvl w:val="0"/>
          <w:numId w:val="5"/>
        </w:numPr>
        <w:snapToGrid w:val="0"/>
        <w:spacing w:after="180" w:line="240" w:lineRule="auto"/>
        <w:rPr>
          <w:sz w:val="22"/>
          <w:szCs w:val="22"/>
        </w:rPr>
      </w:pPr>
      <w:r w:rsidRPr="00862318">
        <w:rPr>
          <w:sz w:val="22"/>
          <w:szCs w:val="22"/>
        </w:rPr>
        <w:t>People who identify as LGBTQI+, people living outside major cities, and people from culturally and linguistically diverse backgrounds are also more vulnerable to violence than other groups.</w:t>
      </w:r>
    </w:p>
    <w:p w14:paraId="247CF83C" w14:textId="77777777" w:rsidR="006F3841" w:rsidRDefault="006F3841" w:rsidP="006F3841">
      <w:pPr>
        <w:pStyle w:val="EndnoteText"/>
        <w:numPr>
          <w:ilvl w:val="0"/>
          <w:numId w:val="5"/>
        </w:numPr>
        <w:snapToGrid w:val="0"/>
        <w:spacing w:after="180" w:line="240" w:lineRule="auto"/>
        <w:rPr>
          <w:sz w:val="22"/>
          <w:szCs w:val="22"/>
        </w:rPr>
      </w:pPr>
      <w:r>
        <w:rPr>
          <w:sz w:val="22"/>
          <w:szCs w:val="22"/>
        </w:rPr>
        <w:t>Family and domestic violence is overrepresented in Aboriginal and Torres Strait Islander Communities, impacted by colonization and ongoing racism.</w:t>
      </w:r>
    </w:p>
    <w:p w14:paraId="2040BCE2" w14:textId="77777777" w:rsidR="006F3841" w:rsidRPr="00862318" w:rsidRDefault="006F3841" w:rsidP="006F3841">
      <w:pPr>
        <w:pStyle w:val="EndnoteText"/>
        <w:snapToGrid w:val="0"/>
        <w:spacing w:after="180" w:line="240" w:lineRule="auto"/>
        <w:rPr>
          <w:sz w:val="22"/>
          <w:szCs w:val="22"/>
        </w:rPr>
      </w:pPr>
      <w:r>
        <w:rPr>
          <w:sz w:val="22"/>
          <w:szCs w:val="22"/>
        </w:rPr>
        <w:t>Additionally, 1 in 6 older Australians experience some form of abuse, being psychological, neglect, financial, physical and sexual.</w:t>
      </w:r>
      <w:r>
        <w:rPr>
          <w:rStyle w:val="EndnoteReference"/>
          <w:sz w:val="22"/>
          <w:szCs w:val="22"/>
        </w:rPr>
        <w:endnoteReference w:id="4"/>
      </w:r>
    </w:p>
    <w:p w14:paraId="46E2A08C" w14:textId="77777777" w:rsidR="006F3841" w:rsidRPr="00862318" w:rsidRDefault="006F3841" w:rsidP="006F3841">
      <w:pPr>
        <w:pStyle w:val="EndnoteText"/>
        <w:snapToGrid w:val="0"/>
        <w:spacing w:after="180" w:line="240" w:lineRule="auto"/>
        <w:rPr>
          <w:sz w:val="22"/>
          <w:szCs w:val="22"/>
        </w:rPr>
      </w:pPr>
      <w:r>
        <w:rPr>
          <w:sz w:val="22"/>
          <w:szCs w:val="22"/>
        </w:rPr>
        <w:lastRenderedPageBreak/>
        <w:t>Domestic violence can be physical, emotional, financial or spiritual, the roots are abuse of power and the control of one person over another.</w:t>
      </w:r>
    </w:p>
    <w:p w14:paraId="567D2BBB" w14:textId="23D3A821" w:rsidR="006F3841" w:rsidRPr="0055467E" w:rsidRDefault="006F3841" w:rsidP="006F3841">
      <w:pPr>
        <w:pStyle w:val="EndnoteText"/>
        <w:snapToGrid w:val="0"/>
        <w:spacing w:after="180" w:line="240" w:lineRule="auto"/>
        <w:rPr>
          <w:sz w:val="22"/>
          <w:szCs w:val="22"/>
          <w:lang w:val="en-AU"/>
        </w:rPr>
      </w:pPr>
      <w:r>
        <w:rPr>
          <w:sz w:val="22"/>
          <w:szCs w:val="22"/>
        </w:rPr>
        <w:t xml:space="preserve">The National Action Plan </w:t>
      </w:r>
      <w:r w:rsidR="00520EB5">
        <w:rPr>
          <w:sz w:val="22"/>
          <w:szCs w:val="22"/>
          <w:lang w:val="en-AU"/>
        </w:rPr>
        <w:t>identifies four domains for action:</w:t>
      </w:r>
    </w:p>
    <w:p w14:paraId="1B037C14" w14:textId="77777777" w:rsidR="006F3841" w:rsidRPr="0055467E" w:rsidRDefault="006F3841" w:rsidP="006F3841">
      <w:pPr>
        <w:pStyle w:val="EndnoteText"/>
        <w:numPr>
          <w:ilvl w:val="0"/>
          <w:numId w:val="6"/>
        </w:numPr>
        <w:snapToGrid w:val="0"/>
        <w:spacing w:after="180" w:line="240" w:lineRule="auto"/>
        <w:rPr>
          <w:sz w:val="22"/>
          <w:szCs w:val="22"/>
          <w:lang w:val="en-AU"/>
        </w:rPr>
      </w:pPr>
      <w:r w:rsidRPr="0055467E">
        <w:rPr>
          <w:b/>
          <w:bCs/>
          <w:sz w:val="22"/>
          <w:szCs w:val="22"/>
          <w:lang w:val="en-AU"/>
        </w:rPr>
        <w:t>Prevention</w:t>
      </w:r>
      <w:r w:rsidRPr="0055467E">
        <w:rPr>
          <w:sz w:val="22"/>
          <w:szCs w:val="22"/>
          <w:lang w:val="en-AU"/>
        </w:rPr>
        <w:t> – working to change the underlying social drivers of violence by addressing the attitudes and systems that drive violence against women and children to stop it before it starts.</w:t>
      </w:r>
    </w:p>
    <w:p w14:paraId="6FBBC841" w14:textId="77777777" w:rsidR="006F3841" w:rsidRPr="0055467E" w:rsidRDefault="006F3841" w:rsidP="006F3841">
      <w:pPr>
        <w:pStyle w:val="EndnoteText"/>
        <w:numPr>
          <w:ilvl w:val="0"/>
          <w:numId w:val="6"/>
        </w:numPr>
        <w:snapToGrid w:val="0"/>
        <w:spacing w:after="180" w:line="240" w:lineRule="auto"/>
        <w:rPr>
          <w:sz w:val="22"/>
          <w:szCs w:val="22"/>
          <w:lang w:val="en-AU"/>
        </w:rPr>
      </w:pPr>
      <w:r w:rsidRPr="0055467E">
        <w:rPr>
          <w:b/>
          <w:bCs/>
          <w:sz w:val="22"/>
          <w:szCs w:val="22"/>
          <w:lang w:val="en-AU"/>
        </w:rPr>
        <w:t>Early intervention</w:t>
      </w:r>
      <w:r w:rsidRPr="0055467E">
        <w:rPr>
          <w:sz w:val="22"/>
          <w:szCs w:val="22"/>
          <w:lang w:val="en-AU"/>
        </w:rPr>
        <w:t> – identifying and supporting individuals who are at high risk of experiencing or perpetrating violence and prevent it from reoccurring.</w:t>
      </w:r>
    </w:p>
    <w:p w14:paraId="11FE6046" w14:textId="77777777" w:rsidR="006F3841" w:rsidRPr="0055467E" w:rsidRDefault="006F3841" w:rsidP="006F3841">
      <w:pPr>
        <w:pStyle w:val="EndnoteText"/>
        <w:numPr>
          <w:ilvl w:val="0"/>
          <w:numId w:val="6"/>
        </w:numPr>
        <w:snapToGrid w:val="0"/>
        <w:spacing w:after="180" w:line="240" w:lineRule="auto"/>
        <w:rPr>
          <w:sz w:val="22"/>
          <w:szCs w:val="22"/>
          <w:lang w:val="en-AU"/>
        </w:rPr>
      </w:pPr>
      <w:r w:rsidRPr="0055467E">
        <w:rPr>
          <w:b/>
          <w:bCs/>
          <w:sz w:val="22"/>
          <w:szCs w:val="22"/>
          <w:lang w:val="en-AU"/>
        </w:rPr>
        <w:t>Response</w:t>
      </w:r>
      <w:r w:rsidRPr="0055467E">
        <w:rPr>
          <w:sz w:val="22"/>
          <w:szCs w:val="22"/>
          <w:lang w:val="en-AU"/>
        </w:rPr>
        <w:t> – providing services and supports to address existing violence and support victim-survivors experiencing violence, such as crisis support and police intervention, and a trauma-informed justice system that will hold people who use violence to account.</w:t>
      </w:r>
    </w:p>
    <w:p w14:paraId="66C01E3E" w14:textId="77777777" w:rsidR="006F3841" w:rsidRPr="0055467E" w:rsidRDefault="006F3841" w:rsidP="006F3841">
      <w:pPr>
        <w:pStyle w:val="EndnoteText"/>
        <w:numPr>
          <w:ilvl w:val="0"/>
          <w:numId w:val="6"/>
        </w:numPr>
        <w:snapToGrid w:val="0"/>
        <w:spacing w:after="180" w:line="240" w:lineRule="auto"/>
        <w:rPr>
          <w:sz w:val="22"/>
          <w:szCs w:val="22"/>
          <w:lang w:val="en-AU"/>
        </w:rPr>
      </w:pPr>
      <w:r w:rsidRPr="0055467E">
        <w:rPr>
          <w:b/>
          <w:bCs/>
          <w:sz w:val="22"/>
          <w:szCs w:val="22"/>
          <w:lang w:val="en-AU"/>
        </w:rPr>
        <w:t>Recovery and healing</w:t>
      </w:r>
      <w:r w:rsidRPr="0055467E">
        <w:rPr>
          <w:sz w:val="22"/>
          <w:szCs w:val="22"/>
          <w:lang w:val="en-AU"/>
        </w:rPr>
        <w:t> – helping to reduce the risk of re-traumatisation and supporting victim-survivors to be safe and healthy to be able to recover from trauma and the physical, mental, emotional, and economic impacts of violence.</w:t>
      </w:r>
    </w:p>
    <w:p w14:paraId="223BBD6F" w14:textId="06345D68" w:rsidR="00C315D7" w:rsidRPr="00C315D7" w:rsidRDefault="00C315D7" w:rsidP="006F3841">
      <w:pPr>
        <w:pStyle w:val="EndnoteText"/>
        <w:snapToGrid w:val="0"/>
        <w:spacing w:after="60" w:line="240" w:lineRule="auto"/>
        <w:rPr>
          <w:b/>
          <w:bCs/>
          <w:sz w:val="22"/>
          <w:szCs w:val="22"/>
        </w:rPr>
      </w:pPr>
      <w:r w:rsidRPr="00C315D7">
        <w:rPr>
          <w:b/>
          <w:bCs/>
          <w:sz w:val="22"/>
          <w:szCs w:val="22"/>
        </w:rPr>
        <w:t>Projects that address one or more of the four domains will be well regarded.</w:t>
      </w:r>
    </w:p>
    <w:p w14:paraId="397CEC65" w14:textId="77777777" w:rsidR="006F3841" w:rsidRDefault="006F3841" w:rsidP="006F3841">
      <w:pPr>
        <w:pStyle w:val="EndnoteText"/>
        <w:snapToGrid w:val="0"/>
        <w:spacing w:after="60" w:line="240" w:lineRule="auto"/>
      </w:pPr>
    </w:p>
    <w:p w14:paraId="6B130879" w14:textId="77777777" w:rsidR="006F3841" w:rsidRPr="00E95A79" w:rsidRDefault="006F3841" w:rsidP="006F3841">
      <w:pPr>
        <w:numPr>
          <w:ilvl w:val="0"/>
          <w:numId w:val="4"/>
        </w:numPr>
        <w:snapToGrid w:val="0"/>
        <w:spacing w:after="180" w:line="240" w:lineRule="auto"/>
        <w:rPr>
          <w:rFonts w:cs="Arial"/>
          <w:b/>
          <w:sz w:val="22"/>
          <w:szCs w:val="22"/>
        </w:rPr>
      </w:pPr>
      <w:r w:rsidRPr="00E95A79">
        <w:rPr>
          <w:rFonts w:cs="Arial"/>
          <w:b/>
          <w:sz w:val="22"/>
          <w:szCs w:val="22"/>
        </w:rPr>
        <w:t>General Criteria</w:t>
      </w:r>
    </w:p>
    <w:p w14:paraId="5439001E" w14:textId="77777777" w:rsidR="006F3841" w:rsidRPr="00E95A79" w:rsidRDefault="006F3841" w:rsidP="006F3841">
      <w:pPr>
        <w:snapToGrid w:val="0"/>
        <w:spacing w:after="180" w:line="240" w:lineRule="auto"/>
        <w:rPr>
          <w:rFonts w:cs="Arial"/>
          <w:sz w:val="22"/>
          <w:szCs w:val="22"/>
        </w:rPr>
      </w:pPr>
      <w:r w:rsidRPr="00E95A79">
        <w:rPr>
          <w:rFonts w:cs="Arial"/>
          <w:sz w:val="22"/>
          <w:szCs w:val="22"/>
        </w:rPr>
        <w:t>The following criteria will be used to assess Social Justice Small Grant applications:</w:t>
      </w:r>
    </w:p>
    <w:p w14:paraId="29C669F9" w14:textId="77777777" w:rsidR="006F3841" w:rsidRPr="00E95A79" w:rsidRDefault="006F3841" w:rsidP="006F3841">
      <w:pPr>
        <w:numPr>
          <w:ilvl w:val="0"/>
          <w:numId w:val="3"/>
        </w:numPr>
        <w:snapToGrid w:val="0"/>
        <w:spacing w:after="180" w:line="240" w:lineRule="auto"/>
        <w:rPr>
          <w:rFonts w:cs="Arial"/>
          <w:color w:val="auto"/>
          <w:sz w:val="22"/>
          <w:szCs w:val="22"/>
        </w:rPr>
      </w:pPr>
      <w:r w:rsidRPr="00E95A79">
        <w:rPr>
          <w:rFonts w:cs="Arial"/>
          <w:sz w:val="22"/>
          <w:szCs w:val="22"/>
        </w:rPr>
        <w:t xml:space="preserve">Innovative projects that require seed funding to increase social equity and inclusion and challenge unjust structures and systems will be prioritised. </w:t>
      </w:r>
    </w:p>
    <w:p w14:paraId="3BDC3E96" w14:textId="77777777" w:rsidR="006F3841" w:rsidRPr="00E95A79" w:rsidRDefault="006F3841" w:rsidP="006F3841">
      <w:pPr>
        <w:numPr>
          <w:ilvl w:val="0"/>
          <w:numId w:val="3"/>
        </w:numPr>
        <w:snapToGrid w:val="0"/>
        <w:spacing w:after="180" w:line="240" w:lineRule="auto"/>
        <w:rPr>
          <w:rFonts w:cs="Arial"/>
          <w:sz w:val="22"/>
          <w:szCs w:val="22"/>
        </w:rPr>
      </w:pPr>
      <w:r w:rsidRPr="00E95A79">
        <w:rPr>
          <w:rFonts w:cs="Arial"/>
          <w:sz w:val="22"/>
          <w:szCs w:val="22"/>
        </w:rPr>
        <w:t>The Mercy Foundation prioritises projects that target disadvantaged women and/or women with children, regardless of the annual social justice focus issue.</w:t>
      </w:r>
    </w:p>
    <w:p w14:paraId="0B59E520" w14:textId="77777777" w:rsidR="006F3841" w:rsidRPr="00E95A79" w:rsidRDefault="006F3841" w:rsidP="006F3841">
      <w:pPr>
        <w:widowControl w:val="0"/>
        <w:numPr>
          <w:ilvl w:val="0"/>
          <w:numId w:val="3"/>
        </w:numPr>
        <w:tabs>
          <w:tab w:val="left" w:pos="426"/>
          <w:tab w:val="left" w:pos="720"/>
        </w:tabs>
        <w:autoSpaceDE w:val="0"/>
        <w:autoSpaceDN w:val="0"/>
        <w:adjustRightInd w:val="0"/>
        <w:snapToGrid w:val="0"/>
        <w:spacing w:after="180" w:line="240" w:lineRule="auto"/>
        <w:rPr>
          <w:rFonts w:cs="Arial"/>
          <w:sz w:val="22"/>
          <w:szCs w:val="22"/>
        </w:rPr>
      </w:pPr>
      <w:r w:rsidRPr="00E95A79">
        <w:rPr>
          <w:rFonts w:cs="Arial"/>
          <w:sz w:val="22"/>
          <w:szCs w:val="22"/>
        </w:rPr>
        <w:t xml:space="preserve">Applications are accepted for projects that are run wholly within Australia, by community-based groups or organisations based in Australia. </w:t>
      </w:r>
    </w:p>
    <w:p w14:paraId="12B7ADEE" w14:textId="77777777" w:rsidR="006F3841" w:rsidRPr="00E95A79" w:rsidRDefault="006F3841" w:rsidP="006F3841">
      <w:pPr>
        <w:widowControl w:val="0"/>
        <w:numPr>
          <w:ilvl w:val="0"/>
          <w:numId w:val="3"/>
        </w:numPr>
        <w:tabs>
          <w:tab w:val="left" w:pos="426"/>
          <w:tab w:val="left" w:pos="720"/>
        </w:tabs>
        <w:autoSpaceDE w:val="0"/>
        <w:autoSpaceDN w:val="0"/>
        <w:adjustRightInd w:val="0"/>
        <w:snapToGrid w:val="0"/>
        <w:spacing w:after="180" w:line="240" w:lineRule="auto"/>
        <w:rPr>
          <w:rFonts w:cs="Arial"/>
          <w:sz w:val="22"/>
          <w:szCs w:val="22"/>
        </w:rPr>
      </w:pPr>
      <w:r w:rsidRPr="00E95A79">
        <w:rPr>
          <w:rFonts w:cs="Arial"/>
          <w:sz w:val="22"/>
          <w:szCs w:val="22"/>
        </w:rPr>
        <w:t>Organisations applying for funds must be a legal entity (or auspiced by a legal entity), not-for-profit and therefore exempt from income tax, but are not required to have Deductible Gift Recipient status.</w:t>
      </w:r>
    </w:p>
    <w:p w14:paraId="2B984ADF" w14:textId="134115FF" w:rsidR="006F3841" w:rsidRPr="00E95A79" w:rsidRDefault="006F3841" w:rsidP="006F3841">
      <w:pPr>
        <w:numPr>
          <w:ilvl w:val="0"/>
          <w:numId w:val="3"/>
        </w:numPr>
        <w:snapToGrid w:val="0"/>
        <w:spacing w:after="180" w:line="240" w:lineRule="auto"/>
        <w:rPr>
          <w:rFonts w:cs="Arial"/>
          <w:sz w:val="22"/>
          <w:szCs w:val="22"/>
        </w:rPr>
      </w:pPr>
      <w:r w:rsidRPr="00E95A79">
        <w:rPr>
          <w:rFonts w:cs="Arial"/>
          <w:sz w:val="22"/>
          <w:szCs w:val="22"/>
        </w:rPr>
        <w:t>Small to medium organisations with a turnover of less than $</w:t>
      </w:r>
      <w:r w:rsidR="007E48EF">
        <w:rPr>
          <w:rFonts w:cs="Arial"/>
          <w:sz w:val="22"/>
          <w:szCs w:val="22"/>
        </w:rPr>
        <w:t>3,0</w:t>
      </w:r>
      <w:r w:rsidRPr="00E95A79">
        <w:rPr>
          <w:rFonts w:cs="Arial"/>
          <w:sz w:val="22"/>
          <w:szCs w:val="22"/>
        </w:rPr>
        <w:t>00,000 with limited access to other funding sources are prioritised.</w:t>
      </w:r>
    </w:p>
    <w:p w14:paraId="0C7D0476" w14:textId="77777777" w:rsidR="006F3841" w:rsidRPr="00E95A79" w:rsidRDefault="006F3841" w:rsidP="006F3841">
      <w:pPr>
        <w:numPr>
          <w:ilvl w:val="0"/>
          <w:numId w:val="3"/>
        </w:numPr>
        <w:snapToGrid w:val="0"/>
        <w:spacing w:after="180" w:line="240" w:lineRule="auto"/>
        <w:rPr>
          <w:rFonts w:cs="Arial"/>
          <w:sz w:val="22"/>
          <w:szCs w:val="22"/>
        </w:rPr>
      </w:pPr>
      <w:r w:rsidRPr="00E95A79">
        <w:rPr>
          <w:rFonts w:cs="Arial"/>
          <w:sz w:val="22"/>
          <w:szCs w:val="22"/>
        </w:rPr>
        <w:t xml:space="preserve">Social Justice Small Grants are </w:t>
      </w:r>
      <w:r w:rsidRPr="00E95A79">
        <w:rPr>
          <w:rFonts w:cs="Arial"/>
          <w:b/>
          <w:sz w:val="22"/>
          <w:szCs w:val="22"/>
        </w:rPr>
        <w:t>not available</w:t>
      </w:r>
      <w:r w:rsidRPr="00E95A79">
        <w:rPr>
          <w:rFonts w:cs="Arial"/>
          <w:sz w:val="22"/>
          <w:szCs w:val="22"/>
        </w:rPr>
        <w:t xml:space="preserve"> to fund:</w:t>
      </w:r>
    </w:p>
    <w:p w14:paraId="3320E63B" w14:textId="77777777" w:rsidR="006F3841" w:rsidRPr="00E95A79" w:rsidRDefault="006F3841" w:rsidP="006F3841">
      <w:pPr>
        <w:numPr>
          <w:ilvl w:val="1"/>
          <w:numId w:val="1"/>
        </w:numPr>
        <w:snapToGrid w:val="0"/>
        <w:spacing w:after="180" w:line="240" w:lineRule="auto"/>
        <w:ind w:left="1276" w:hanging="357"/>
        <w:rPr>
          <w:rFonts w:cs="Arial"/>
          <w:sz w:val="22"/>
          <w:szCs w:val="22"/>
        </w:rPr>
      </w:pPr>
      <w:r w:rsidRPr="00E95A79">
        <w:rPr>
          <w:rFonts w:cs="Arial"/>
          <w:sz w:val="22"/>
          <w:szCs w:val="22"/>
        </w:rPr>
        <w:t>Core (normal) operating costs of applicant organisations</w:t>
      </w:r>
    </w:p>
    <w:p w14:paraId="102D243A" w14:textId="77777777" w:rsidR="006F3841" w:rsidRPr="00E95A79" w:rsidRDefault="006F3841" w:rsidP="006F3841">
      <w:pPr>
        <w:numPr>
          <w:ilvl w:val="1"/>
          <w:numId w:val="1"/>
        </w:numPr>
        <w:snapToGrid w:val="0"/>
        <w:spacing w:after="180" w:line="240" w:lineRule="auto"/>
        <w:ind w:left="1276" w:hanging="357"/>
        <w:rPr>
          <w:rFonts w:cs="Arial"/>
          <w:sz w:val="22"/>
          <w:szCs w:val="22"/>
        </w:rPr>
      </w:pPr>
      <w:r w:rsidRPr="00E95A79">
        <w:rPr>
          <w:rFonts w:cs="Arial"/>
          <w:sz w:val="22"/>
          <w:szCs w:val="22"/>
        </w:rPr>
        <w:t>Vehicles</w:t>
      </w:r>
    </w:p>
    <w:p w14:paraId="2ED380CA" w14:textId="77777777" w:rsidR="006F3841" w:rsidRPr="00E95A79" w:rsidRDefault="006F3841" w:rsidP="006F3841">
      <w:pPr>
        <w:numPr>
          <w:ilvl w:val="1"/>
          <w:numId w:val="1"/>
        </w:numPr>
        <w:snapToGrid w:val="0"/>
        <w:spacing w:after="180" w:line="240" w:lineRule="auto"/>
        <w:ind w:left="1276" w:hanging="357"/>
        <w:rPr>
          <w:rFonts w:cs="Arial"/>
          <w:sz w:val="22"/>
          <w:szCs w:val="22"/>
        </w:rPr>
      </w:pPr>
      <w:r w:rsidRPr="00E95A79">
        <w:rPr>
          <w:rFonts w:cs="Arial"/>
          <w:sz w:val="22"/>
          <w:szCs w:val="22"/>
        </w:rPr>
        <w:t>For-profit organisations</w:t>
      </w:r>
    </w:p>
    <w:p w14:paraId="0300964F" w14:textId="77777777" w:rsidR="006F3841" w:rsidRPr="00E95A79" w:rsidRDefault="006F3841" w:rsidP="006F3841">
      <w:pPr>
        <w:numPr>
          <w:ilvl w:val="1"/>
          <w:numId w:val="1"/>
        </w:numPr>
        <w:snapToGrid w:val="0"/>
        <w:spacing w:after="180" w:line="240" w:lineRule="auto"/>
        <w:ind w:left="1276" w:hanging="357"/>
        <w:rPr>
          <w:rFonts w:cs="Arial"/>
          <w:sz w:val="22"/>
          <w:szCs w:val="22"/>
        </w:rPr>
      </w:pPr>
      <w:r w:rsidRPr="00E95A79">
        <w:rPr>
          <w:rFonts w:cs="Arial"/>
          <w:sz w:val="22"/>
          <w:szCs w:val="22"/>
        </w:rPr>
        <w:t>Private individuals</w:t>
      </w:r>
    </w:p>
    <w:p w14:paraId="48930EC5" w14:textId="77777777" w:rsidR="006F3841" w:rsidRPr="00E95A79" w:rsidRDefault="006F3841" w:rsidP="006F3841">
      <w:pPr>
        <w:numPr>
          <w:ilvl w:val="1"/>
          <w:numId w:val="1"/>
        </w:numPr>
        <w:snapToGrid w:val="0"/>
        <w:spacing w:after="180" w:line="240" w:lineRule="auto"/>
        <w:ind w:left="1276" w:hanging="357"/>
        <w:rPr>
          <w:rFonts w:cs="Arial"/>
          <w:sz w:val="22"/>
          <w:szCs w:val="22"/>
        </w:rPr>
      </w:pPr>
      <w:r w:rsidRPr="00E95A79">
        <w:rPr>
          <w:rFonts w:cs="Arial"/>
          <w:sz w:val="22"/>
          <w:szCs w:val="22"/>
        </w:rPr>
        <w:t>Projects that require recurrent funding</w:t>
      </w:r>
    </w:p>
    <w:p w14:paraId="4CAA6CA4" w14:textId="77777777" w:rsidR="006F3841" w:rsidRPr="00E95A79" w:rsidRDefault="006F3841" w:rsidP="006F3841">
      <w:pPr>
        <w:numPr>
          <w:ilvl w:val="1"/>
          <w:numId w:val="1"/>
        </w:numPr>
        <w:snapToGrid w:val="0"/>
        <w:spacing w:after="180" w:line="240" w:lineRule="auto"/>
        <w:ind w:left="1276" w:hanging="357"/>
        <w:rPr>
          <w:rFonts w:cs="Arial"/>
          <w:sz w:val="22"/>
          <w:szCs w:val="22"/>
        </w:rPr>
      </w:pPr>
      <w:r w:rsidRPr="00E95A79">
        <w:rPr>
          <w:rFonts w:cs="Arial"/>
          <w:sz w:val="22"/>
          <w:szCs w:val="22"/>
        </w:rPr>
        <w:t>General fundraising appeals</w:t>
      </w:r>
    </w:p>
    <w:p w14:paraId="4116AE96" w14:textId="77777777" w:rsidR="006F3841" w:rsidRPr="00E95A79" w:rsidRDefault="006F3841" w:rsidP="006F3841">
      <w:pPr>
        <w:numPr>
          <w:ilvl w:val="1"/>
          <w:numId w:val="1"/>
        </w:numPr>
        <w:snapToGrid w:val="0"/>
        <w:spacing w:after="180" w:line="240" w:lineRule="auto"/>
        <w:ind w:left="1276" w:hanging="357"/>
        <w:rPr>
          <w:rFonts w:cs="Arial"/>
          <w:sz w:val="22"/>
          <w:szCs w:val="22"/>
        </w:rPr>
      </w:pPr>
      <w:r w:rsidRPr="00E95A79">
        <w:rPr>
          <w:rFonts w:cs="Arial"/>
          <w:sz w:val="22"/>
          <w:szCs w:val="22"/>
        </w:rPr>
        <w:t>Research</w:t>
      </w:r>
    </w:p>
    <w:p w14:paraId="1E34969F" w14:textId="77777777" w:rsidR="006F3841" w:rsidRPr="00E95A79" w:rsidRDefault="006F3841" w:rsidP="006F3841">
      <w:pPr>
        <w:numPr>
          <w:ilvl w:val="1"/>
          <w:numId w:val="1"/>
        </w:numPr>
        <w:snapToGrid w:val="0"/>
        <w:spacing w:after="180" w:line="240" w:lineRule="auto"/>
        <w:ind w:left="1276" w:hanging="357"/>
        <w:rPr>
          <w:rFonts w:cs="Arial"/>
          <w:sz w:val="22"/>
          <w:szCs w:val="22"/>
        </w:rPr>
      </w:pPr>
      <w:r w:rsidRPr="00E95A79">
        <w:rPr>
          <w:rFonts w:cs="Arial"/>
          <w:sz w:val="22"/>
          <w:szCs w:val="22"/>
        </w:rPr>
        <w:t>Deficit funding</w:t>
      </w:r>
    </w:p>
    <w:p w14:paraId="62831B57" w14:textId="77777777" w:rsidR="006F3841" w:rsidRPr="00E95A79" w:rsidRDefault="006F3841" w:rsidP="006F3841">
      <w:pPr>
        <w:numPr>
          <w:ilvl w:val="1"/>
          <w:numId w:val="1"/>
        </w:numPr>
        <w:snapToGrid w:val="0"/>
        <w:spacing w:after="180" w:line="240" w:lineRule="auto"/>
        <w:ind w:left="1276" w:hanging="357"/>
        <w:rPr>
          <w:rFonts w:cs="Arial"/>
          <w:sz w:val="22"/>
          <w:szCs w:val="22"/>
        </w:rPr>
      </w:pPr>
      <w:r w:rsidRPr="00E95A79">
        <w:rPr>
          <w:rFonts w:cs="Arial"/>
          <w:sz w:val="22"/>
          <w:szCs w:val="22"/>
        </w:rPr>
        <w:lastRenderedPageBreak/>
        <w:t>Duplication of existing services</w:t>
      </w:r>
    </w:p>
    <w:p w14:paraId="5ABCC0AE" w14:textId="77777777" w:rsidR="006F3841" w:rsidRPr="00E95A79" w:rsidRDefault="006F3841" w:rsidP="006F3841">
      <w:pPr>
        <w:numPr>
          <w:ilvl w:val="1"/>
          <w:numId w:val="1"/>
        </w:numPr>
        <w:snapToGrid w:val="0"/>
        <w:spacing w:after="180" w:line="240" w:lineRule="auto"/>
        <w:ind w:left="1276"/>
        <w:rPr>
          <w:rFonts w:cs="Arial"/>
          <w:sz w:val="22"/>
          <w:szCs w:val="22"/>
        </w:rPr>
      </w:pPr>
      <w:r w:rsidRPr="00E95A79">
        <w:rPr>
          <w:rFonts w:cs="Arial"/>
          <w:sz w:val="22"/>
          <w:szCs w:val="22"/>
        </w:rPr>
        <w:t>Organisations that have, or have access to, significant government or other funding</w:t>
      </w:r>
    </w:p>
    <w:p w14:paraId="1638B884" w14:textId="77777777" w:rsidR="006F3841" w:rsidRPr="00E95A79" w:rsidRDefault="006F3841" w:rsidP="006F3841">
      <w:pPr>
        <w:numPr>
          <w:ilvl w:val="1"/>
          <w:numId w:val="1"/>
        </w:numPr>
        <w:snapToGrid w:val="0"/>
        <w:spacing w:after="180" w:line="240" w:lineRule="auto"/>
        <w:ind w:left="1276"/>
        <w:rPr>
          <w:rFonts w:cs="Arial"/>
          <w:sz w:val="22"/>
          <w:szCs w:val="22"/>
        </w:rPr>
      </w:pPr>
      <w:r w:rsidRPr="00E95A79">
        <w:rPr>
          <w:rFonts w:cs="Arial"/>
          <w:sz w:val="22"/>
          <w:szCs w:val="22"/>
        </w:rPr>
        <w:t>Government entities</w:t>
      </w:r>
    </w:p>
    <w:p w14:paraId="190B699C" w14:textId="77777777" w:rsidR="006F3841" w:rsidRPr="00E95A79" w:rsidRDefault="006F3841" w:rsidP="006F3841">
      <w:pPr>
        <w:numPr>
          <w:ilvl w:val="1"/>
          <w:numId w:val="1"/>
        </w:numPr>
        <w:snapToGrid w:val="0"/>
        <w:spacing w:after="180" w:line="240" w:lineRule="auto"/>
        <w:ind w:left="1276"/>
        <w:rPr>
          <w:rFonts w:cs="Arial"/>
          <w:sz w:val="22"/>
          <w:szCs w:val="22"/>
        </w:rPr>
      </w:pPr>
      <w:r w:rsidRPr="00E95A79">
        <w:rPr>
          <w:rFonts w:cs="Arial"/>
          <w:sz w:val="22"/>
          <w:szCs w:val="22"/>
        </w:rPr>
        <w:t>Projects that do not meet the identified goals and priorities of the Mercy Foundation.</w:t>
      </w:r>
    </w:p>
    <w:p w14:paraId="65DF4E5A" w14:textId="77777777" w:rsidR="006F3841" w:rsidRPr="00E95A79" w:rsidRDefault="006F3841" w:rsidP="006F3841">
      <w:pPr>
        <w:snapToGrid w:val="0"/>
        <w:spacing w:after="180" w:line="240" w:lineRule="auto"/>
        <w:rPr>
          <w:rFonts w:cs="Arial"/>
          <w:b/>
          <w:sz w:val="22"/>
          <w:szCs w:val="22"/>
        </w:rPr>
      </w:pPr>
    </w:p>
    <w:p w14:paraId="42CDB3E1" w14:textId="77777777" w:rsidR="006F3841" w:rsidRPr="00E95A79" w:rsidRDefault="006F3841" w:rsidP="006F3841">
      <w:pPr>
        <w:numPr>
          <w:ilvl w:val="0"/>
          <w:numId w:val="4"/>
        </w:numPr>
        <w:snapToGrid w:val="0"/>
        <w:spacing w:after="180" w:line="240" w:lineRule="auto"/>
        <w:rPr>
          <w:rFonts w:cs="Arial"/>
          <w:b/>
          <w:sz w:val="22"/>
          <w:szCs w:val="22"/>
        </w:rPr>
      </w:pPr>
      <w:r w:rsidRPr="00E95A79">
        <w:rPr>
          <w:rFonts w:cs="Arial"/>
          <w:b/>
          <w:sz w:val="22"/>
          <w:szCs w:val="22"/>
        </w:rPr>
        <w:t>Other considerations:</w:t>
      </w:r>
    </w:p>
    <w:p w14:paraId="687A88C4" w14:textId="77777777" w:rsidR="006F3841" w:rsidRPr="00E95A79" w:rsidRDefault="006F3841" w:rsidP="006F3841">
      <w:pPr>
        <w:widowControl w:val="0"/>
        <w:numPr>
          <w:ilvl w:val="0"/>
          <w:numId w:val="2"/>
        </w:numPr>
        <w:tabs>
          <w:tab w:val="left" w:pos="220"/>
        </w:tabs>
        <w:autoSpaceDE w:val="0"/>
        <w:autoSpaceDN w:val="0"/>
        <w:adjustRightInd w:val="0"/>
        <w:snapToGrid w:val="0"/>
        <w:spacing w:after="180" w:line="240" w:lineRule="auto"/>
        <w:ind w:left="709"/>
        <w:rPr>
          <w:rFonts w:cs="Arial"/>
          <w:color w:val="auto"/>
          <w:sz w:val="22"/>
          <w:szCs w:val="22"/>
        </w:rPr>
      </w:pPr>
      <w:r w:rsidRPr="00E95A79">
        <w:rPr>
          <w:rFonts w:cs="Arial"/>
          <w:color w:val="auto"/>
          <w:sz w:val="22"/>
          <w:szCs w:val="22"/>
        </w:rPr>
        <w:t xml:space="preserve">Organisations </w:t>
      </w:r>
      <w:r w:rsidRPr="00E95A79">
        <w:rPr>
          <w:rFonts w:cs="Arial"/>
          <w:b/>
          <w:color w:val="auto"/>
          <w:sz w:val="22"/>
          <w:szCs w:val="22"/>
        </w:rPr>
        <w:t>must</w:t>
      </w:r>
      <w:r w:rsidRPr="00E95A79">
        <w:rPr>
          <w:rFonts w:cs="Arial"/>
          <w:color w:val="auto"/>
          <w:sz w:val="22"/>
          <w:szCs w:val="22"/>
        </w:rPr>
        <w:t xml:space="preserve"> have a safeguarding policy in place </w:t>
      </w:r>
      <w:r>
        <w:rPr>
          <w:rFonts w:cs="Arial"/>
          <w:color w:val="auto"/>
          <w:sz w:val="22"/>
          <w:szCs w:val="22"/>
        </w:rPr>
        <w:t xml:space="preserve">prior to funding </w:t>
      </w:r>
      <w:r w:rsidRPr="00E95A79">
        <w:rPr>
          <w:rFonts w:cs="Arial"/>
          <w:color w:val="auto"/>
          <w:sz w:val="22"/>
          <w:szCs w:val="22"/>
        </w:rPr>
        <w:t>(refer to the ACNC website for more information).</w:t>
      </w:r>
    </w:p>
    <w:p w14:paraId="3FDDB2BA" w14:textId="77777777" w:rsidR="006F3841" w:rsidRPr="00E95A79" w:rsidRDefault="006F3841" w:rsidP="006F3841">
      <w:pPr>
        <w:numPr>
          <w:ilvl w:val="0"/>
          <w:numId w:val="2"/>
        </w:numPr>
        <w:snapToGrid w:val="0"/>
        <w:spacing w:after="180" w:line="240" w:lineRule="auto"/>
        <w:ind w:left="709"/>
        <w:rPr>
          <w:rFonts w:cs="Arial"/>
          <w:sz w:val="22"/>
          <w:szCs w:val="22"/>
        </w:rPr>
      </w:pPr>
      <w:r w:rsidRPr="00E95A79">
        <w:rPr>
          <w:rFonts w:cs="Arial"/>
          <w:sz w:val="22"/>
          <w:szCs w:val="22"/>
        </w:rPr>
        <w:t>The objective</w:t>
      </w:r>
      <w:r>
        <w:rPr>
          <w:rFonts w:cs="Arial"/>
          <w:sz w:val="22"/>
          <w:szCs w:val="22"/>
        </w:rPr>
        <w:t>s</w:t>
      </w:r>
      <w:r w:rsidRPr="00E95A79">
        <w:rPr>
          <w:rFonts w:cs="Arial"/>
          <w:sz w:val="22"/>
          <w:szCs w:val="22"/>
        </w:rPr>
        <w:t xml:space="preserve"> of the project must be clear and measurable. </w:t>
      </w:r>
    </w:p>
    <w:p w14:paraId="371E5626" w14:textId="77777777" w:rsidR="006F3841" w:rsidRPr="00E95A79" w:rsidRDefault="006F3841" w:rsidP="006F3841">
      <w:pPr>
        <w:numPr>
          <w:ilvl w:val="0"/>
          <w:numId w:val="2"/>
        </w:numPr>
        <w:snapToGrid w:val="0"/>
        <w:spacing w:after="180" w:line="240" w:lineRule="auto"/>
        <w:ind w:left="709"/>
        <w:rPr>
          <w:rFonts w:cs="Arial"/>
          <w:sz w:val="22"/>
          <w:szCs w:val="22"/>
        </w:rPr>
      </w:pPr>
      <w:r w:rsidRPr="00E95A79">
        <w:rPr>
          <w:rFonts w:cs="Arial"/>
          <w:sz w:val="22"/>
          <w:szCs w:val="22"/>
        </w:rPr>
        <w:t>Organisations must demonstrate capacity to implement and manage the project.</w:t>
      </w:r>
    </w:p>
    <w:p w14:paraId="21DBBBB6" w14:textId="77777777" w:rsidR="006F3841" w:rsidRPr="00E95A79" w:rsidRDefault="006F3841" w:rsidP="006F3841">
      <w:pPr>
        <w:numPr>
          <w:ilvl w:val="0"/>
          <w:numId w:val="2"/>
        </w:numPr>
        <w:snapToGrid w:val="0"/>
        <w:spacing w:after="180" w:line="240" w:lineRule="auto"/>
        <w:ind w:left="709"/>
        <w:rPr>
          <w:rFonts w:cs="Arial"/>
          <w:sz w:val="22"/>
          <w:szCs w:val="22"/>
        </w:rPr>
      </w:pPr>
      <w:r w:rsidRPr="00E95A79">
        <w:rPr>
          <w:rFonts w:cs="Arial"/>
          <w:sz w:val="22"/>
          <w:szCs w:val="22"/>
        </w:rPr>
        <w:t>Organisations need to explain how a project will continue if the key person (who might be a board member, staff member or volunteer organiser) leaves the project while it is still being implemented.</w:t>
      </w:r>
    </w:p>
    <w:p w14:paraId="05BCE8AC" w14:textId="77777777" w:rsidR="006F3841" w:rsidRPr="00E95A79" w:rsidRDefault="006F3841" w:rsidP="006F3841">
      <w:pPr>
        <w:numPr>
          <w:ilvl w:val="0"/>
          <w:numId w:val="2"/>
        </w:numPr>
        <w:snapToGrid w:val="0"/>
        <w:spacing w:after="180" w:line="240" w:lineRule="auto"/>
        <w:ind w:left="709"/>
        <w:rPr>
          <w:rFonts w:cs="Arial"/>
          <w:sz w:val="22"/>
          <w:szCs w:val="22"/>
        </w:rPr>
      </w:pPr>
      <w:r w:rsidRPr="00E95A79">
        <w:rPr>
          <w:rFonts w:cs="Arial"/>
          <w:sz w:val="22"/>
          <w:szCs w:val="22"/>
        </w:rPr>
        <w:t>The application should include how the project will be evaluated and what developments or future actions will come from the project.</w:t>
      </w:r>
    </w:p>
    <w:p w14:paraId="3B36C0C3" w14:textId="77777777" w:rsidR="006F3841" w:rsidRPr="00E95A79" w:rsidRDefault="006F3841" w:rsidP="006F3841">
      <w:pPr>
        <w:widowControl w:val="0"/>
        <w:numPr>
          <w:ilvl w:val="0"/>
          <w:numId w:val="2"/>
        </w:numPr>
        <w:tabs>
          <w:tab w:val="left" w:pos="220"/>
        </w:tabs>
        <w:autoSpaceDE w:val="0"/>
        <w:autoSpaceDN w:val="0"/>
        <w:adjustRightInd w:val="0"/>
        <w:snapToGrid w:val="0"/>
        <w:spacing w:after="180" w:line="240" w:lineRule="auto"/>
        <w:ind w:left="709"/>
        <w:rPr>
          <w:rFonts w:cs="Arial"/>
          <w:sz w:val="22"/>
          <w:szCs w:val="22"/>
        </w:rPr>
      </w:pPr>
      <w:r w:rsidRPr="00E95A79">
        <w:rPr>
          <w:rFonts w:cs="Arial"/>
          <w:sz w:val="22"/>
          <w:szCs w:val="22"/>
        </w:rPr>
        <w:t>Applications require the completion of the appropriate application form and a brief description of the organisation and an annual report or similar document to substantiate the organisation’s status.</w:t>
      </w:r>
    </w:p>
    <w:p w14:paraId="3E8DCE1C" w14:textId="77777777" w:rsidR="006F3841" w:rsidRPr="00E95A79" w:rsidRDefault="006F3841" w:rsidP="006F3841">
      <w:pPr>
        <w:widowControl w:val="0"/>
        <w:numPr>
          <w:ilvl w:val="0"/>
          <w:numId w:val="2"/>
        </w:numPr>
        <w:tabs>
          <w:tab w:val="left" w:pos="220"/>
        </w:tabs>
        <w:autoSpaceDE w:val="0"/>
        <w:autoSpaceDN w:val="0"/>
        <w:adjustRightInd w:val="0"/>
        <w:snapToGrid w:val="0"/>
        <w:spacing w:after="180" w:line="240" w:lineRule="auto"/>
        <w:ind w:left="709"/>
        <w:rPr>
          <w:rFonts w:cs="Arial"/>
          <w:sz w:val="22"/>
          <w:szCs w:val="22"/>
        </w:rPr>
      </w:pPr>
      <w:r w:rsidRPr="00E95A79">
        <w:rPr>
          <w:rFonts w:cs="Arial"/>
          <w:sz w:val="22"/>
          <w:szCs w:val="22"/>
        </w:rPr>
        <w:t>Applicants must provide referees who can vouch for the organisation’s competencies and the project’s viability.</w:t>
      </w:r>
    </w:p>
    <w:p w14:paraId="6128D6C5" w14:textId="77777777" w:rsidR="006F3841" w:rsidRPr="00E95A79" w:rsidRDefault="006F3841" w:rsidP="006F3841">
      <w:pPr>
        <w:widowControl w:val="0"/>
        <w:tabs>
          <w:tab w:val="left" w:pos="284"/>
          <w:tab w:val="left" w:pos="720"/>
        </w:tabs>
        <w:autoSpaceDE w:val="0"/>
        <w:autoSpaceDN w:val="0"/>
        <w:adjustRightInd w:val="0"/>
        <w:snapToGrid w:val="0"/>
        <w:spacing w:after="180" w:line="240" w:lineRule="auto"/>
        <w:rPr>
          <w:rFonts w:cs="Arial"/>
          <w:sz w:val="22"/>
          <w:szCs w:val="22"/>
        </w:rPr>
      </w:pPr>
      <w:r w:rsidRPr="00E95A79">
        <w:rPr>
          <w:rFonts w:cs="Arial"/>
          <w:sz w:val="22"/>
          <w:szCs w:val="22"/>
        </w:rPr>
        <w:t>The applications will be assessed and prioritised for funding according to the above criteria, with consideration given to ensuring there is a fair representation of projects from different states across Australia.</w:t>
      </w:r>
    </w:p>
    <w:p w14:paraId="76C43228" w14:textId="77777777" w:rsidR="006F3841" w:rsidRDefault="006F3841" w:rsidP="006F3841">
      <w:pPr>
        <w:widowControl w:val="0"/>
        <w:tabs>
          <w:tab w:val="left" w:pos="220"/>
          <w:tab w:val="left" w:pos="720"/>
        </w:tabs>
        <w:autoSpaceDE w:val="0"/>
        <w:autoSpaceDN w:val="0"/>
        <w:adjustRightInd w:val="0"/>
        <w:snapToGrid w:val="0"/>
        <w:spacing w:after="180" w:line="240" w:lineRule="auto"/>
        <w:rPr>
          <w:rFonts w:cs="Arial"/>
          <w:sz w:val="22"/>
          <w:szCs w:val="22"/>
        </w:rPr>
      </w:pPr>
      <w:r w:rsidRPr="00E95A79">
        <w:rPr>
          <w:rFonts w:cs="Arial"/>
          <w:sz w:val="22"/>
          <w:szCs w:val="22"/>
        </w:rPr>
        <w:t xml:space="preserve">Please contact the Mercy Foundation on 02 9911 7390 or email </w:t>
      </w:r>
      <w:hyperlink r:id="rId10" w:history="1">
        <w:r w:rsidRPr="00E95A79">
          <w:rPr>
            <w:rStyle w:val="Hyperlink"/>
            <w:rFonts w:cs="Arial"/>
            <w:color w:val="1F497D"/>
            <w:sz w:val="22"/>
            <w:szCs w:val="22"/>
          </w:rPr>
          <w:t>office@mercyfoundation.com.au</w:t>
        </w:r>
      </w:hyperlink>
      <w:r w:rsidRPr="00E95A79">
        <w:rPr>
          <w:rFonts w:cs="Arial"/>
          <w:color w:val="FF0000"/>
          <w:sz w:val="22"/>
          <w:szCs w:val="22"/>
        </w:rPr>
        <w:t xml:space="preserve"> </w:t>
      </w:r>
      <w:r w:rsidRPr="00E95A79">
        <w:rPr>
          <w:rFonts w:cs="Arial"/>
          <w:sz w:val="22"/>
          <w:szCs w:val="22"/>
        </w:rPr>
        <w:t>if you have</w:t>
      </w:r>
      <w:r w:rsidRPr="000210FD">
        <w:rPr>
          <w:rFonts w:cs="Arial"/>
          <w:sz w:val="22"/>
          <w:szCs w:val="22"/>
        </w:rPr>
        <w:t xml:space="preserve"> any questions about grant eligibility guidelines. </w:t>
      </w:r>
    </w:p>
    <w:sectPr w:rsidR="006F3841" w:rsidSect="006F3841">
      <w:headerReference w:type="default" r:id="rId11"/>
      <w:footerReference w:type="default" r:id="rId12"/>
      <w:headerReference w:type="first" r:id="rId13"/>
      <w:footerReference w:type="first" r:id="rId14"/>
      <w:pgSz w:w="11900" w:h="16840" w:code="1"/>
      <w:pgMar w:top="1252" w:right="1041" w:bottom="567" w:left="993" w:header="720" w:footer="11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9A5D7" w14:textId="77777777" w:rsidR="00DF72AA" w:rsidRDefault="00DF72AA" w:rsidP="006F3841">
      <w:pPr>
        <w:spacing w:line="240" w:lineRule="auto"/>
      </w:pPr>
      <w:r>
        <w:separator/>
      </w:r>
    </w:p>
  </w:endnote>
  <w:endnote w:type="continuationSeparator" w:id="0">
    <w:p w14:paraId="10DF5DAB" w14:textId="77777777" w:rsidR="00DF72AA" w:rsidRDefault="00DF72AA" w:rsidP="006F3841">
      <w:pPr>
        <w:spacing w:line="240" w:lineRule="auto"/>
      </w:pPr>
      <w:r>
        <w:continuationSeparator/>
      </w:r>
    </w:p>
  </w:endnote>
  <w:endnote w:id="1">
    <w:p w14:paraId="4F70A004" w14:textId="60709C57" w:rsidR="006F3841" w:rsidRPr="006F3841" w:rsidRDefault="006F3841" w:rsidP="006F3841">
      <w:pPr>
        <w:pStyle w:val="EndnoteText"/>
        <w:snapToGrid w:val="0"/>
        <w:rPr>
          <w:lang w:val="en-AU"/>
        </w:rPr>
      </w:pPr>
      <w:r>
        <w:rPr>
          <w:rStyle w:val="EndnoteReference"/>
        </w:rPr>
        <w:endnoteRef/>
      </w:r>
      <w:r>
        <w:t xml:space="preserve"> </w:t>
      </w:r>
      <w:r w:rsidRPr="00840438">
        <w:t xml:space="preserve">Social Justice Statement 2022-2023, available at </w:t>
      </w:r>
      <w:hyperlink r:id="rId1" w:history="1">
        <w:r w:rsidRPr="00840438">
          <w:rPr>
            <w:rStyle w:val="Hyperlink"/>
          </w:rPr>
          <w:t>https://socialjustice.catholic.org.au</w:t>
        </w:r>
      </w:hyperlink>
    </w:p>
  </w:endnote>
  <w:endnote w:id="2">
    <w:p w14:paraId="0D48B6AC" w14:textId="77777777" w:rsidR="006F3841" w:rsidRPr="003707EB" w:rsidRDefault="006F3841" w:rsidP="006F3841">
      <w:pPr>
        <w:pStyle w:val="EndnoteText"/>
        <w:snapToGrid w:val="0"/>
        <w:rPr>
          <w:lang w:val="en-AU"/>
        </w:rPr>
      </w:pPr>
      <w:r>
        <w:rPr>
          <w:rStyle w:val="EndnoteReference"/>
        </w:rPr>
        <w:endnoteRef/>
      </w:r>
      <w:r>
        <w:t xml:space="preserve"> </w:t>
      </w:r>
      <w:r w:rsidRPr="003707EB">
        <w:rPr>
          <w:lang w:val="en-AU"/>
        </w:rPr>
        <w:t>Australian Institute of Health and Welfare</w:t>
      </w:r>
      <w:r>
        <w:rPr>
          <w:lang w:val="en-AU"/>
        </w:rPr>
        <w:t xml:space="preserve"> </w:t>
      </w:r>
      <w:r w:rsidRPr="003707EB">
        <w:rPr>
          <w:lang w:val="en-AU"/>
        </w:rPr>
        <w:t>(AIHW), Family, Domestic and Sexual Violence</w:t>
      </w:r>
      <w:r>
        <w:rPr>
          <w:lang w:val="en-AU"/>
        </w:rPr>
        <w:t xml:space="preserve"> </w:t>
      </w:r>
      <w:r w:rsidRPr="003707EB">
        <w:rPr>
          <w:lang w:val="en-AU"/>
        </w:rPr>
        <w:t>in Australia: Continuing the National Story 2019</w:t>
      </w:r>
      <w:r>
        <w:rPr>
          <w:lang w:val="en-AU"/>
        </w:rPr>
        <w:t xml:space="preserve"> </w:t>
      </w:r>
      <w:r w:rsidRPr="003707EB">
        <w:rPr>
          <w:lang w:val="en-AU"/>
        </w:rPr>
        <w:t>(Canberra, Act: AIHW, 2019)</w:t>
      </w:r>
    </w:p>
  </w:endnote>
  <w:endnote w:id="3">
    <w:p w14:paraId="1E90F1A4" w14:textId="6713AF15" w:rsidR="006F3841" w:rsidRPr="006F3841" w:rsidRDefault="006F3841" w:rsidP="006F3841">
      <w:pPr>
        <w:pStyle w:val="EndnoteText"/>
        <w:snapToGrid w:val="0"/>
        <w:rPr>
          <w:lang w:val="en-AU"/>
        </w:rPr>
      </w:pPr>
      <w:r>
        <w:rPr>
          <w:rStyle w:val="EndnoteReference"/>
        </w:rPr>
        <w:endnoteRef/>
      </w:r>
      <w:r>
        <w:t xml:space="preserve"> </w:t>
      </w:r>
      <w:r w:rsidRPr="00840438">
        <w:t xml:space="preserve">National Action Plan to End Violence Against Women and Girls 2022 – 2032 </w:t>
      </w:r>
      <w:hyperlink r:id="rId2" w:history="1">
        <w:r w:rsidRPr="003B2FB4">
          <w:rPr>
            <w:rStyle w:val="Hyperlink"/>
          </w:rPr>
          <w:t>https://www.dss.gov.au/ending-violence</w:t>
        </w:r>
      </w:hyperlink>
    </w:p>
  </w:endnote>
  <w:endnote w:id="4">
    <w:p w14:paraId="39949BB5" w14:textId="1D548A13" w:rsidR="006F3841" w:rsidRDefault="006F3841" w:rsidP="006F3841">
      <w:pPr>
        <w:pStyle w:val="EndnoteText"/>
      </w:pPr>
      <w:r>
        <w:rPr>
          <w:rStyle w:val="EndnoteReference"/>
        </w:rPr>
        <w:endnoteRef/>
      </w:r>
      <w:r>
        <w:t xml:space="preserve"> </w:t>
      </w:r>
      <w:hyperlink r:id="rId3" w:history="1">
        <w:r w:rsidR="00C315D7" w:rsidRPr="003B2FB4">
          <w:rPr>
            <w:rStyle w:val="Hyperlink"/>
          </w:rPr>
          <w:t>https://aifs.gov.au/projects/elder-abuse-research December 2021</w:t>
        </w:r>
      </w:hyperlink>
    </w:p>
    <w:p w14:paraId="5D8662B0" w14:textId="4F41BE7D" w:rsidR="00C315D7" w:rsidRDefault="00C315D7" w:rsidP="006F3841">
      <w:pPr>
        <w:pStyle w:val="EndnoteText"/>
      </w:pPr>
    </w:p>
    <w:p w14:paraId="2AA60287" w14:textId="77777777" w:rsidR="00C315D7" w:rsidRPr="00840438" w:rsidRDefault="00C315D7" w:rsidP="00C315D7">
      <w:pPr>
        <w:pStyle w:val="EndnoteText"/>
        <w:snapToGrid w:val="0"/>
        <w:spacing w:after="60" w:line="240" w:lineRule="auto"/>
        <w:rPr>
          <w:b/>
          <w:bCs/>
        </w:rPr>
      </w:pPr>
      <w:r w:rsidRPr="00840438">
        <w:rPr>
          <w:b/>
          <w:bCs/>
        </w:rPr>
        <w:t>Resources:</w:t>
      </w:r>
    </w:p>
    <w:p w14:paraId="3DBBC717" w14:textId="77777777" w:rsidR="00C315D7" w:rsidRPr="00840438" w:rsidRDefault="00C315D7" w:rsidP="00C315D7">
      <w:pPr>
        <w:pStyle w:val="EndnoteText"/>
        <w:snapToGrid w:val="0"/>
        <w:spacing w:after="60" w:line="240" w:lineRule="auto"/>
      </w:pPr>
      <w:r w:rsidRPr="00840438">
        <w:t xml:space="preserve">Social Justice Statement 2022-2023, available at </w:t>
      </w:r>
      <w:hyperlink r:id="rId4" w:history="1">
        <w:r w:rsidRPr="00840438">
          <w:rPr>
            <w:rStyle w:val="Hyperlink"/>
          </w:rPr>
          <w:t>https://socialjustice.catholic.org.au</w:t>
        </w:r>
      </w:hyperlink>
    </w:p>
    <w:p w14:paraId="67D19339" w14:textId="77777777" w:rsidR="00C315D7" w:rsidRDefault="00C315D7" w:rsidP="00C315D7">
      <w:pPr>
        <w:pStyle w:val="EndnoteText"/>
        <w:snapToGrid w:val="0"/>
        <w:spacing w:after="60" w:line="240" w:lineRule="auto"/>
      </w:pPr>
      <w:r w:rsidRPr="00840438">
        <w:t xml:space="preserve">National Action Plan to End Violence Against Women and Girls 2022 – 2032 </w:t>
      </w:r>
      <w:hyperlink r:id="rId5" w:history="1">
        <w:r w:rsidRPr="003B2FB4">
          <w:rPr>
            <w:rStyle w:val="Hyperlink"/>
          </w:rPr>
          <w:t>https://www.dss.gov.au/ending-violence</w:t>
        </w:r>
      </w:hyperlink>
    </w:p>
    <w:p w14:paraId="6E09D1B0" w14:textId="77777777" w:rsidR="00C315D7" w:rsidRDefault="00C315D7" w:rsidP="00C315D7">
      <w:pPr>
        <w:pStyle w:val="EndnoteText"/>
        <w:snapToGrid w:val="0"/>
        <w:spacing w:after="60" w:line="240" w:lineRule="auto"/>
      </w:pPr>
      <w:r w:rsidRPr="00840438">
        <w:t>NSW Domestic and Family Violence Plan 2022 – 2027</w:t>
      </w:r>
      <w:r>
        <w:t xml:space="preserve"> </w:t>
      </w:r>
      <w:hyperlink r:id="rId6" w:history="1">
        <w:r w:rsidRPr="003B2FB4">
          <w:rPr>
            <w:rStyle w:val="Hyperlink"/>
          </w:rPr>
          <w:t>https://bit.ly/3PQdSvq</w:t>
        </w:r>
      </w:hyperlink>
    </w:p>
    <w:p w14:paraId="09BE40EE" w14:textId="77777777" w:rsidR="00C315D7" w:rsidRDefault="00C315D7" w:rsidP="00C315D7">
      <w:pPr>
        <w:pStyle w:val="EndnoteText"/>
        <w:snapToGrid w:val="0"/>
        <w:spacing w:after="60" w:line="240" w:lineRule="auto"/>
      </w:pPr>
      <w:r w:rsidRPr="00840438">
        <w:t>1800 RESPECT</w:t>
      </w:r>
      <w:r>
        <w:t xml:space="preserve"> </w:t>
      </w:r>
      <w:hyperlink r:id="rId7" w:history="1">
        <w:r w:rsidRPr="003B2FB4">
          <w:rPr>
            <w:rStyle w:val="Hyperlink"/>
          </w:rPr>
          <w:t>https://www.1800respect.org.au</w:t>
        </w:r>
      </w:hyperlink>
    </w:p>
    <w:p w14:paraId="2835951B" w14:textId="77777777" w:rsidR="00C315D7" w:rsidRPr="0049734D" w:rsidRDefault="00C315D7" w:rsidP="006F3841">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81CE3" w14:textId="77777777" w:rsidR="00066C6B" w:rsidRDefault="00021B90" w:rsidP="0047264E">
    <w:pPr>
      <w:ind w:left="720" w:firstLine="720"/>
    </w:pPr>
    <w:r>
      <w:tab/>
    </w:r>
    <w:r>
      <w:tab/>
    </w:r>
    <w:r>
      <w:tab/>
    </w:r>
    <w:r>
      <w:tab/>
    </w:r>
    <w:r>
      <w:tab/>
    </w:r>
    <w:r>
      <w:tab/>
    </w:r>
    <w:r>
      <w:tab/>
    </w:r>
    <w:r>
      <w:tab/>
    </w:r>
    <w:r>
      <w:tab/>
    </w:r>
    <w:r>
      <w:tab/>
    </w:r>
    <w:r>
      <w:tab/>
    </w:r>
    <w:r>
      <w:tab/>
    </w:r>
    <w:r>
      <w:rPr>
        <w:rStyle w:val="PageNumber"/>
        <w:caps/>
        <w:sz w:val="16"/>
      </w:rPr>
      <w:fldChar w:fldCharType="begin"/>
    </w:r>
    <w:r>
      <w:rPr>
        <w:rStyle w:val="PageNumber"/>
        <w:caps/>
        <w:sz w:val="16"/>
      </w:rPr>
      <w:instrText xml:space="preserve"> PAGE </w:instrText>
    </w:r>
    <w:r>
      <w:rPr>
        <w:rStyle w:val="PageNumber"/>
        <w:caps/>
        <w:sz w:val="16"/>
      </w:rPr>
      <w:fldChar w:fldCharType="separate"/>
    </w:r>
    <w:r>
      <w:rPr>
        <w:rStyle w:val="PageNumber"/>
        <w:caps/>
        <w:noProof/>
        <w:sz w:val="16"/>
      </w:rPr>
      <w:t>12</w:t>
    </w:r>
    <w:r>
      <w:rPr>
        <w:rStyle w:val="PageNumber"/>
        <w:cap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3E4BE" w14:textId="77777777" w:rsidR="00066C6B" w:rsidRDefault="00DF72AA" w:rsidP="0047264E">
    <w:pPr>
      <w:pStyle w:val="Footer"/>
      <w:ind w:left="1008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544F0" w14:textId="77777777" w:rsidR="00DF72AA" w:rsidRDefault="00DF72AA" w:rsidP="006F3841">
      <w:pPr>
        <w:spacing w:line="240" w:lineRule="auto"/>
      </w:pPr>
      <w:r>
        <w:separator/>
      </w:r>
    </w:p>
  </w:footnote>
  <w:footnote w:type="continuationSeparator" w:id="0">
    <w:p w14:paraId="2DA4739D" w14:textId="77777777" w:rsidR="00DF72AA" w:rsidRDefault="00DF72AA" w:rsidP="006F3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64393" w14:textId="77777777" w:rsidR="00066C6B" w:rsidRDefault="00DF72AA"/>
  <w:p w14:paraId="79760D8A" w14:textId="2AD9F099" w:rsidR="00066C6B" w:rsidRPr="00E437B7" w:rsidRDefault="00021B90" w:rsidP="0047264E">
    <w:pPr>
      <w:rPr>
        <w:color w:val="1F497D"/>
        <w:sz w:val="24"/>
        <w:szCs w:val="24"/>
      </w:rPr>
    </w:pPr>
    <w:r>
      <w:t xml:space="preserve"> </w:t>
    </w:r>
    <w:r>
      <w:tab/>
    </w:r>
    <w:r>
      <w:tab/>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45F09" w14:textId="77777777" w:rsidR="00066C6B" w:rsidRDefault="00DF72AA" w:rsidP="0047264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B0DA6"/>
    <w:multiLevelType w:val="hybridMultilevel"/>
    <w:tmpl w:val="ACBC3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F1149"/>
    <w:multiLevelType w:val="hybridMultilevel"/>
    <w:tmpl w:val="BEAE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16680"/>
    <w:multiLevelType w:val="hybridMultilevel"/>
    <w:tmpl w:val="11E2669E"/>
    <w:lvl w:ilvl="0" w:tplc="04090019">
      <w:start w:val="1"/>
      <w:numFmt w:val="lowerLetter"/>
      <w:lvlText w:val="%1."/>
      <w:lvlJc w:val="left"/>
      <w:pPr>
        <w:ind w:left="1124" w:hanging="360"/>
      </w:pPr>
    </w:lvl>
    <w:lvl w:ilvl="1" w:tplc="04090019">
      <w:start w:val="1"/>
      <w:numFmt w:val="lowerLetter"/>
      <w:lvlText w:val="%2."/>
      <w:lvlJc w:val="left"/>
      <w:pPr>
        <w:ind w:left="1124" w:hanging="360"/>
      </w:pPr>
    </w:lvl>
    <w:lvl w:ilvl="2" w:tplc="0409001B">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3" w15:restartNumberingAfterBreak="0">
    <w:nsid w:val="43554CEA"/>
    <w:multiLevelType w:val="hybridMultilevel"/>
    <w:tmpl w:val="4D0E78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1F764D"/>
    <w:multiLevelType w:val="hybridMultilevel"/>
    <w:tmpl w:val="4DCE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662F7"/>
    <w:multiLevelType w:val="multilevel"/>
    <w:tmpl w:val="F02A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143D84"/>
    <w:multiLevelType w:val="hybridMultilevel"/>
    <w:tmpl w:val="5900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41"/>
    <w:rsid w:val="00021B90"/>
    <w:rsid w:val="00217E74"/>
    <w:rsid w:val="00235948"/>
    <w:rsid w:val="00520EB5"/>
    <w:rsid w:val="006F3841"/>
    <w:rsid w:val="007E48EF"/>
    <w:rsid w:val="00987CD6"/>
    <w:rsid w:val="009E5211"/>
    <w:rsid w:val="00C315D7"/>
    <w:rsid w:val="00DF72AA"/>
    <w:rsid w:val="00E75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64C3D"/>
  <w15:chartTrackingRefBased/>
  <w15:docId w15:val="{4D8D1F9C-C560-8247-91F4-21887964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841"/>
    <w:pPr>
      <w:spacing w:line="276" w:lineRule="auto"/>
    </w:pPr>
    <w:rPr>
      <w:rFonts w:ascii="Calibri" w:eastAsia="MS PGothic" w:hAnsi="Calibri"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841"/>
    <w:pPr>
      <w:spacing w:line="240" w:lineRule="auto"/>
    </w:pPr>
    <w:rPr>
      <w:caps/>
      <w:color w:val="FFFFFF"/>
      <w:sz w:val="16"/>
      <w:lang w:val="x-none" w:eastAsia="x-none"/>
    </w:rPr>
  </w:style>
  <w:style w:type="character" w:customStyle="1" w:styleId="HeaderChar">
    <w:name w:val="Header Char"/>
    <w:basedOn w:val="DefaultParagraphFont"/>
    <w:link w:val="Header"/>
    <w:uiPriority w:val="99"/>
    <w:rsid w:val="006F3841"/>
    <w:rPr>
      <w:rFonts w:ascii="Calibri" w:eastAsia="MS PGothic" w:hAnsi="Calibri" w:cs="Times New Roman"/>
      <w:caps/>
      <w:color w:val="FFFFFF"/>
      <w:sz w:val="16"/>
      <w:szCs w:val="20"/>
      <w:lang w:val="x-none" w:eastAsia="x-none"/>
    </w:rPr>
  </w:style>
  <w:style w:type="paragraph" w:styleId="Footer">
    <w:name w:val="footer"/>
    <w:basedOn w:val="Normal"/>
    <w:link w:val="FooterChar"/>
    <w:unhideWhenUsed/>
    <w:rsid w:val="006F3841"/>
    <w:pPr>
      <w:spacing w:before="40" w:after="40" w:line="240" w:lineRule="auto"/>
    </w:pPr>
    <w:rPr>
      <w:caps/>
      <w:color w:val="B0C0C9"/>
      <w:sz w:val="16"/>
      <w:lang w:val="x-none" w:eastAsia="x-none"/>
    </w:rPr>
  </w:style>
  <w:style w:type="character" w:customStyle="1" w:styleId="FooterChar">
    <w:name w:val="Footer Char"/>
    <w:basedOn w:val="DefaultParagraphFont"/>
    <w:link w:val="Footer"/>
    <w:rsid w:val="006F3841"/>
    <w:rPr>
      <w:rFonts w:ascii="Calibri" w:eastAsia="MS PGothic" w:hAnsi="Calibri" w:cs="Times New Roman"/>
      <w:caps/>
      <w:color w:val="B0C0C9"/>
      <w:sz w:val="16"/>
      <w:szCs w:val="20"/>
      <w:lang w:val="x-none" w:eastAsia="x-none"/>
    </w:rPr>
  </w:style>
  <w:style w:type="paragraph" w:styleId="Title">
    <w:name w:val="Title"/>
    <w:basedOn w:val="Normal"/>
    <w:next w:val="Normal"/>
    <w:link w:val="TitleChar"/>
    <w:uiPriority w:val="1"/>
    <w:qFormat/>
    <w:rsid w:val="006F3841"/>
    <w:pPr>
      <w:pBdr>
        <w:bottom w:val="single" w:sz="8" w:space="4" w:color="B0C0C9"/>
      </w:pBdr>
      <w:spacing w:before="720" w:after="480" w:line="240" w:lineRule="auto"/>
    </w:pPr>
    <w:rPr>
      <w:color w:val="5590CC"/>
      <w:sz w:val="48"/>
      <w:lang w:val="x-none" w:eastAsia="x-none"/>
    </w:rPr>
  </w:style>
  <w:style w:type="character" w:customStyle="1" w:styleId="TitleChar">
    <w:name w:val="Title Char"/>
    <w:basedOn w:val="DefaultParagraphFont"/>
    <w:link w:val="Title"/>
    <w:uiPriority w:val="1"/>
    <w:rsid w:val="006F3841"/>
    <w:rPr>
      <w:rFonts w:ascii="Calibri" w:eastAsia="MS PGothic" w:hAnsi="Calibri" w:cs="Times New Roman"/>
      <w:color w:val="5590CC"/>
      <w:sz w:val="48"/>
      <w:szCs w:val="20"/>
      <w:lang w:val="x-none" w:eastAsia="x-none"/>
    </w:rPr>
  </w:style>
  <w:style w:type="character" w:styleId="PageNumber">
    <w:name w:val="page number"/>
    <w:uiPriority w:val="99"/>
    <w:unhideWhenUsed/>
    <w:rsid w:val="006F3841"/>
    <w:rPr>
      <w:color w:val="073E87"/>
    </w:rPr>
  </w:style>
  <w:style w:type="character" w:styleId="Hyperlink">
    <w:name w:val="Hyperlink"/>
    <w:rsid w:val="006F3841"/>
    <w:rPr>
      <w:color w:val="0000FF"/>
      <w:u w:val="single"/>
    </w:rPr>
  </w:style>
  <w:style w:type="paragraph" w:styleId="EndnoteText">
    <w:name w:val="endnote text"/>
    <w:basedOn w:val="Normal"/>
    <w:link w:val="EndnoteTextChar"/>
    <w:uiPriority w:val="99"/>
    <w:unhideWhenUsed/>
    <w:rsid w:val="006F3841"/>
  </w:style>
  <w:style w:type="character" w:customStyle="1" w:styleId="EndnoteTextChar">
    <w:name w:val="Endnote Text Char"/>
    <w:basedOn w:val="DefaultParagraphFont"/>
    <w:link w:val="EndnoteText"/>
    <w:uiPriority w:val="99"/>
    <w:rsid w:val="006F3841"/>
    <w:rPr>
      <w:rFonts w:ascii="Calibri" w:eastAsia="MS PGothic" w:hAnsi="Calibri" w:cs="Times New Roman"/>
      <w:color w:val="000000"/>
      <w:sz w:val="20"/>
      <w:szCs w:val="20"/>
      <w:lang w:val="en-US"/>
    </w:rPr>
  </w:style>
  <w:style w:type="character" w:styleId="EndnoteReference">
    <w:name w:val="endnote reference"/>
    <w:uiPriority w:val="99"/>
    <w:semiHidden/>
    <w:unhideWhenUsed/>
    <w:rsid w:val="006F3841"/>
    <w:rPr>
      <w:vertAlign w:val="superscript"/>
    </w:rPr>
  </w:style>
  <w:style w:type="character" w:styleId="UnresolvedMention">
    <w:name w:val="Unresolved Mention"/>
    <w:basedOn w:val="DefaultParagraphFont"/>
    <w:uiPriority w:val="99"/>
    <w:semiHidden/>
    <w:unhideWhenUsed/>
    <w:rsid w:val="006F3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mercyfoundation.com.au" TargetMode="External"/><Relationship Id="rId4" Type="http://schemas.openxmlformats.org/officeDocument/2006/relationships/settings" Target="settings.xml"/><Relationship Id="rId9" Type="http://schemas.openxmlformats.org/officeDocument/2006/relationships/hyperlink" Target="https://drive.google.com/file/d/1ywUe8vTK1m4wMKNG9cEdCTDcfEgSwuTN/view"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aifs.gov.au/projects/elder-abuse-research%20December%202021" TargetMode="External"/><Relationship Id="rId7" Type="http://schemas.openxmlformats.org/officeDocument/2006/relationships/hyperlink" Target="https://www.1800respect.org.au" TargetMode="External"/><Relationship Id="rId2" Type="http://schemas.openxmlformats.org/officeDocument/2006/relationships/hyperlink" Target="https://www.dss.gov.au/ending-violence" TargetMode="External"/><Relationship Id="rId1" Type="http://schemas.openxmlformats.org/officeDocument/2006/relationships/hyperlink" Target="https://socialjustice.catholic.org.au" TargetMode="External"/><Relationship Id="rId6" Type="http://schemas.openxmlformats.org/officeDocument/2006/relationships/hyperlink" Target="https://bit.ly/3PQdSvq" TargetMode="External"/><Relationship Id="rId5" Type="http://schemas.openxmlformats.org/officeDocument/2006/relationships/hyperlink" Target="https://www.dss.gov.au/ending-violence" TargetMode="External"/><Relationship Id="rId4" Type="http://schemas.openxmlformats.org/officeDocument/2006/relationships/hyperlink" Target="https://socialjustice.catholi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0BEB9-5D5A-5D47-B227-A69669C8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Administrator</dc:creator>
  <cp:keywords/>
  <dc:description/>
  <cp:lastModifiedBy>MIA Administrator</cp:lastModifiedBy>
  <cp:revision>6</cp:revision>
  <cp:lastPrinted>2022-12-21T04:36:00Z</cp:lastPrinted>
  <dcterms:created xsi:type="dcterms:W3CDTF">2022-12-21T04:22:00Z</dcterms:created>
  <dcterms:modified xsi:type="dcterms:W3CDTF">2022-12-21T23:25:00Z</dcterms:modified>
</cp:coreProperties>
</file>